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9"/>
        <w:ind w:hanging="0" w:left="0" w:right="0"/>
        <w:jc w:val="left"/>
        <w:rPr>
          <w:sz w:val="20"/>
          <w:szCs w:val="20"/>
        </w:rPr>
      </w:pPr>
      <w:r>
        <w:rPr>
          <w:rFonts w:eastAsia="Calibri" w:cs="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Votre enseignant vous confie un défi technique : plusieurs maquettes de portails automatiques sont disponibles en classe, mais elles ne fonctionnent plus correctement. Que s’est-il passé ? Le système est-il déjà endommagé ou s’agit-il simplement d’un dysfonctionnement ?</w:t>
      </w:r>
    </w:p>
    <w:p>
      <w:pPr>
        <w:pStyle w:val="BodyText"/>
        <w:widowControl/>
        <w:spacing w:lineRule="auto" w:line="259" w:before="120" w:after="60"/>
        <w:ind w:hanging="0" w:left="0" w:right="0"/>
        <w:rPr>
          <w:sz w:val="20"/>
          <w:szCs w:val="2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La garantie étant expirée, deux options s’offrent à vous :</w:t>
      </w:r>
    </w:p>
    <w:p>
      <w:pPr>
        <w:pStyle w:val="BodyText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59" w:before="60" w:after="60"/>
        <w:ind w:hanging="0" w:left="0" w:right="0"/>
        <w:rPr/>
      </w:pPr>
      <w:r>
        <w:rPr>
          <w:rStyle w:val="Strong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Style w:val="Strong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Acheter un nouveau modèle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, ce qui représente un coût important,</w:t>
      </w:r>
    </w:p>
    <w:p>
      <w:pPr>
        <w:pStyle w:val="BodyText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59" w:before="60" w:after="60"/>
        <w:ind w:hanging="0" w:left="0" w:right="0"/>
        <w:rPr/>
      </w:pPr>
      <w:r>
        <w:rPr>
          <w:rStyle w:val="Strong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Style w:val="Strong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Tenter de diagnostiquer et réparer le portail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, ce qui demande de l’analyse et de la méthode.</w:t>
      </w:r>
    </w:p>
    <w:p>
      <w:pPr>
        <w:pStyle w:val="BodyText"/>
        <w:widowControl/>
        <w:spacing w:lineRule="auto" w:line="259" w:before="120" w:after="60"/>
        <w:ind w:hanging="0" w:left="0" w:right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Votre mission : </w:t>
      </w:r>
      <w:r>
        <w:rPr>
          <w:rStyle w:val="Strong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mener une enquête technique</w:t>
      </w:r>
      <w:r>
        <w:rPr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 pour comprendre l’origine du problème et proposer une solution réaliste. Êtes-vous prêts à relever le défi et à jouer les techniciens de maintenance ?</w:t>
      </w:r>
    </w:p>
    <w:p>
      <w:pPr>
        <w:pStyle w:val="Texteprformatuser"/>
        <w:bidi w:val="0"/>
        <w:spacing w:lineRule="auto" w:line="259"/>
        <w:ind w:hanging="0" w:left="0" w:right="0"/>
        <w:jc w:val="left"/>
        <w:rPr>
          <w:rFonts w:ascii="Calibri" w:hAnsi="Calibri" w:eastAsia="Calibri" w:cs=""/>
          <w:b w:val="false"/>
          <w:bCs w:val="false"/>
          <w:sz w:val="20"/>
          <w:szCs w:val="20"/>
          <w:u w:val="none"/>
        </w:rPr>
      </w:pPr>
      <w:r>
        <w:rPr>
          <w:rFonts w:eastAsia="Calibri" w:cs="" w:ascii="Calibri" w:hAnsi="Calibri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59"/>
        <w:ind w:hanging="0" w:left="0" w:right="0"/>
        <w:jc w:val="both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none"/>
        </w:rPr>
        <w:t> : La réparation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Votre enseignant vous impose les règles suivantes à faire dans l’ordre :</w:t>
      </w:r>
    </w:p>
    <w:p>
      <w:pPr>
        <w:pStyle w:val="Textbody"/>
        <w:numPr>
          <w:ilvl w:val="0"/>
          <w:numId w:val="0"/>
        </w:numPr>
        <w:ind w:hanging="0" w:left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>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FF0000"/>
          <w:sz w:val="22"/>
          <w:szCs w:val="22"/>
        </w:rPr>
        <w:t>Vous ne devez pas démonter le portail !</w:t>
      </w:r>
    </w:p>
    <w:p>
      <w:pPr>
        <w:pStyle w:val="Textbody"/>
        <w:numPr>
          <w:ilvl w:val="0"/>
          <w:numId w:val="5"/>
        </w:numPr>
        <w:jc w:val="left"/>
        <w:rPr/>
      </w:pPr>
      <w:r>
        <w:rPr>
          <w:rFonts w:ascii="Calibri" w:hAnsi="Calibri"/>
          <w:sz w:val="22"/>
          <w:szCs w:val="22"/>
        </w:rPr>
        <w:t>- Vous devez tester le portail et trouver une ou des pannes à l’aide du « 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7. </w:t>
      </w:r>
      <w:r>
        <w:rPr>
          <w:rStyle w:val="Hyperlink"/>
          <w:rFonts w:ascii="Calibri" w:hAnsi="Calibri"/>
          <w:b/>
          <w:bCs/>
          <w:color w:val="000000"/>
          <w:sz w:val="24"/>
          <w:szCs w:val="24"/>
        </w:rPr>
        <w:t>tableau des anomalies</w:t>
      </w:r>
      <w:r>
        <w:rPr>
          <w:rFonts w:ascii="Calibri" w:hAnsi="Calibri"/>
          <w:sz w:val="22"/>
          <w:szCs w:val="22"/>
        </w:rPr>
        <w:t> »,</w:t>
      </w:r>
    </w:p>
    <w:p>
      <w:pPr>
        <w:pStyle w:val="Textbody"/>
        <w:numPr>
          <w:ilvl w:val="0"/>
          <w:numId w:val="5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Vous devez proposer une réparation possible,</w:t>
      </w:r>
    </w:p>
    <w:p>
      <w:pPr>
        <w:pStyle w:val="Normal"/>
        <w:bidi w:val="0"/>
        <w:spacing w:lineRule="auto" w:line="259"/>
        <w:ind w:hanging="0" w:left="0" w:right="0"/>
        <w:jc w:val="both"/>
        <w:rPr/>
      </w:pPr>
      <w:r>
        <w:rPr>
          <w:b w:val="false"/>
          <w:bCs w:val="false"/>
          <w:sz w:val="22"/>
          <w:szCs w:val="22"/>
          <w:u w:val="none"/>
        </w:rPr>
        <w:t>-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 xml:space="preserve">Vous devez rédiger une </w:t>
      </w:r>
      <w:r>
        <w:rPr>
          <w:b/>
          <w:bCs/>
          <w:sz w:val="22"/>
          <w:szCs w:val="22"/>
          <w:u w:val="none"/>
        </w:rPr>
        <w:t xml:space="preserve">« </w:t>
      </w:r>
      <w:r>
        <w:rPr>
          <w:b/>
          <w:bCs/>
          <w:sz w:val="24"/>
          <w:szCs w:val="24"/>
          <w:u w:val="single"/>
        </w:rPr>
        <w:t>8. </w:t>
      </w:r>
      <w:r>
        <w:rPr>
          <w:rStyle w:val="Hyperlink"/>
          <w:b/>
          <w:bCs/>
          <w:color w:val="000000"/>
          <w:sz w:val="24"/>
          <w:szCs w:val="24"/>
          <w:u w:val="single"/>
        </w:rPr>
        <w:t>fich</w:t>
      </w:r>
      <w:r>
        <w:rPr>
          <w:rStyle w:val="Hyperlink"/>
          <w:b/>
          <w:bCs/>
          <w:color w:val="000000"/>
          <w:sz w:val="24"/>
          <w:szCs w:val="24"/>
        </w:rPr>
        <w:t>e d’intervention</w:t>
      </w:r>
      <w:r>
        <w:rPr>
          <w:b/>
          <w:bCs/>
          <w:sz w:val="22"/>
          <w:szCs w:val="22"/>
          <w:u w:val="none"/>
        </w:rPr>
        <w:t> » pour clore votre travail.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1847850</wp:posOffset>
            </wp:positionH>
            <wp:positionV relativeFrom="paragraph">
              <wp:posOffset>-99695</wp:posOffset>
            </wp:positionV>
            <wp:extent cx="2995295" cy="3893820"/>
            <wp:effectExtent l="0" t="0" r="0" b="0"/>
            <wp:wrapSquare wrapText="bothSides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9013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389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bidi w:val="0"/>
        <w:spacing w:lineRule="auto" w:line="259" w:before="0" w:after="160"/>
        <w:ind w:hanging="0" w:left="0" w:right="0"/>
        <w:jc w:val="both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none"/>
        </w:rPr>
        <w:t> : Le tableau des anomalies</w:t>
      </w:r>
    </w:p>
    <w:p>
      <w:pPr>
        <w:pStyle w:val="Heading2"/>
        <w:numPr>
          <w:ilvl w:val="1"/>
          <w:numId w:val="1"/>
        </w:numPr>
        <w:spacing w:before="0" w:after="120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12"/>
        <w:gridCol w:w="3515"/>
        <w:gridCol w:w="3961"/>
      </w:tblGrid>
      <w:tr>
        <w:trPr/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jc w:val="center"/>
              <w:rPr/>
            </w:pPr>
            <w:r>
              <w:rPr>
                <w:b/>
                <w:bCs/>
              </w:rPr>
              <w:t>Anomalies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jc w:val="center"/>
              <w:rPr/>
            </w:pPr>
            <w:r>
              <w:rPr>
                <w:b/>
                <w:bCs/>
              </w:rPr>
              <w:t>Causes possibles</w:t>
            </w:r>
          </w:p>
        </w:tc>
        <w:tc>
          <w:tcPr>
            <w:tcW w:w="3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spacing w:before="0" w:after="160"/>
              <w:jc w:val="center"/>
              <w:rPr/>
            </w:pPr>
            <w:r>
              <w:rPr>
                <w:b/>
                <w:bCs/>
              </w:rPr>
              <w:t>Solutions</w:t>
            </w:r>
          </w:p>
        </w:tc>
      </w:tr>
      <w:tr>
        <w:trPr/>
        <w:tc>
          <w:tcPr>
            <w:tcW w:w="30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1. Le portail fonctionne mais la portée de la télécommande est très limitée &lt;50cm</w:t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3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Piles de la télécommande déchargées.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3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Changer les piles</w:t>
            </w:r>
          </w:p>
        </w:tc>
      </w:tr>
      <w:tr>
        <w:trPr/>
        <w:tc>
          <w:tcPr>
            <w:tcW w:w="301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2. Le servomoteur fonctionne mais le vantail bouge bizarrement ou pas du tout</w:t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4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Bras cassé.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4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Changer le bras cassé</w:t>
            </w:r>
          </w:p>
        </w:tc>
      </w:tr>
      <w:tr>
        <w:trPr/>
        <w:tc>
          <w:tcPr>
            <w:tcW w:w="3012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4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Liaison entre les bras et le vantail cassée.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4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Changer le vantail ou le réparer</w:t>
            </w:r>
          </w:p>
        </w:tc>
      </w:tr>
      <w:tr>
        <w:trPr/>
        <w:tc>
          <w:tcPr>
            <w:tcW w:w="3012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4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Liaison entre les 2 bras cassée.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numPr>
                <w:ilvl w:val="0"/>
                <w:numId w:val="4"/>
              </w:numPr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Changer les 2 bras</w:t>
            </w:r>
          </w:p>
        </w:tc>
      </w:tr>
      <w:tr>
        <w:trPr/>
        <w:tc>
          <w:tcPr>
            <w:tcW w:w="301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3. Le buzzer et la LED rouge fonctionnent mais le servomoteur ne fonctionne pas</w:t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6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454" w:right="0"/>
              <w:jc w:val="left"/>
              <w:rPr/>
            </w:pPr>
            <w:r>
              <w:rPr>
                <w:rFonts w:eastAsia="Microsoft YaHei"/>
              </w:rPr>
              <w:t>La connexion entre la carte « Arduino Uno » et le servomoteur est défectueuse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6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510" w:right="57"/>
              <w:jc w:val="left"/>
              <w:rPr/>
            </w:pPr>
            <w:r>
              <w:rPr>
                <w:rFonts w:eastAsia="Microsoft YaHei"/>
              </w:rPr>
              <w:t xml:space="preserve">Vérifier les câbles et la connexion des fiches comme dans le chapitre : </w:t>
            </w:r>
            <w:hyperlink w:anchor="_toc358">
              <w:r>
                <w:rPr>
                  <w:rStyle w:val="Hyperlink"/>
                  <w:rFonts w:eastAsia="Microsoft YaHei"/>
                </w:rPr>
                <w:t>matériel</w:t>
              </w:r>
            </w:hyperlink>
          </w:p>
        </w:tc>
      </w:tr>
      <w:tr>
        <w:trPr/>
        <w:tc>
          <w:tcPr>
            <w:tcW w:w="3012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7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454" w:right="0"/>
              <w:jc w:val="left"/>
              <w:rPr/>
            </w:pPr>
            <w:r>
              <w:rPr>
                <w:rFonts w:eastAsia="Microsoft YaHei"/>
              </w:rPr>
              <w:t>Le servomoteur est défectueux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6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510" w:right="57"/>
              <w:jc w:val="left"/>
              <w:rPr/>
            </w:pPr>
            <w:r>
              <w:rPr>
                <w:rFonts w:eastAsia="Microsoft YaHei"/>
              </w:rPr>
              <w:t>Changer le servomoteur</w:t>
            </w:r>
          </w:p>
        </w:tc>
      </w:tr>
      <w:tr>
        <w:trPr/>
        <w:tc>
          <w:tcPr>
            <w:tcW w:w="30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4. Le vantail bouge mais il tourne de travers et/ou il frotte sur le sol</w:t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8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454" w:right="0"/>
              <w:jc w:val="left"/>
              <w:rPr/>
            </w:pPr>
            <w:r>
              <w:rPr>
                <w:rFonts w:eastAsia="Microsoft YaHei"/>
              </w:rPr>
              <w:t>Liaison poteau / vantail défectueuse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8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510" w:right="57"/>
              <w:jc w:val="left"/>
              <w:rPr/>
            </w:pPr>
            <w:r>
              <w:rPr>
                <w:rFonts w:eastAsia="Microsoft YaHei"/>
              </w:rPr>
              <w:t>Changer ou réparer l’articulation entre le poteau et le vantail</w:t>
            </w:r>
          </w:p>
        </w:tc>
      </w:tr>
      <w:tr>
        <w:trPr/>
        <w:tc>
          <w:tcPr>
            <w:tcW w:w="30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spacing w:before="0" w:after="160"/>
              <w:rPr>
                <w:rFonts w:eastAsia="Microsoft YaHei"/>
              </w:rPr>
            </w:pPr>
            <w:r>
              <w:rPr>
                <w:rFonts w:eastAsia="Microsoft YaHei"/>
              </w:rPr>
              <w:t>5. La barrière optique détecte un obstacle fantôme</w:t>
            </w:r>
          </w:p>
        </w:tc>
        <w:tc>
          <w:tcPr>
            <w:tcW w:w="351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8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454" w:right="0"/>
              <w:jc w:val="left"/>
              <w:rPr/>
            </w:pPr>
            <w:r>
              <w:rPr>
                <w:rFonts w:eastAsia="Microsoft YaHei"/>
              </w:rPr>
              <w:t>La LED infrarouge émettrice ne fonctionne pas</w:t>
            </w:r>
          </w:p>
        </w:tc>
        <w:tc>
          <w:tcPr>
            <w:tcW w:w="3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ntenudetableau"/>
              <w:widowControl w:val="false"/>
              <w:numPr>
                <w:ilvl w:val="0"/>
                <w:numId w:val="8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510" w:right="57"/>
              <w:jc w:val="left"/>
              <w:rPr/>
            </w:pPr>
            <w:r>
              <w:rPr>
                <w:rFonts w:eastAsia="Microsoft YaHei"/>
              </w:rPr>
              <w:t>Vérifier qu’elle est bien mise en fonctionnement dans le programme,</w:t>
            </w:r>
          </w:p>
          <w:p>
            <w:pPr>
              <w:pStyle w:val="Contenudetableau"/>
              <w:widowControl w:val="false"/>
              <w:numPr>
                <w:ilvl w:val="0"/>
                <w:numId w:val="8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510" w:right="57"/>
              <w:jc w:val="left"/>
              <w:rPr>
                <w:rFonts w:eastAsia="Microsoft YaHei"/>
              </w:rPr>
            </w:pPr>
            <w:r>
              <w:rPr>
                <w:rFonts w:eastAsia="Microsoft YaHei"/>
              </w:rPr>
              <w:t>Vérifier qu’elle est branchée correctement</w:t>
            </w:r>
          </w:p>
          <w:p>
            <w:pPr>
              <w:pStyle w:val="Contenudetableau"/>
              <w:widowControl w:val="false"/>
              <w:numPr>
                <w:ilvl w:val="0"/>
                <w:numId w:val="8"/>
              </w:numPr>
              <w:suppressLineNumbers/>
              <w:suppressAutoHyphens w:val="true"/>
              <w:bidi w:val="0"/>
              <w:spacing w:lineRule="auto" w:line="259" w:before="0" w:after="160"/>
              <w:ind w:hanging="340" w:left="510" w:right="57"/>
              <w:jc w:val="left"/>
              <w:rPr>
                <w:rFonts w:eastAsia="Microsoft YaHei"/>
              </w:rPr>
            </w:pPr>
            <w:r>
              <w:rPr>
                <w:rFonts w:eastAsia="Microsoft YaHei"/>
              </w:rPr>
              <w:t>Vérifier le potentiomètre sur le circuit du récepteur infra-rouge</w:t>
            </w:r>
          </w:p>
        </w:tc>
      </w:tr>
    </w:tbl>
    <w:p>
      <w:pPr>
        <w:pStyle w:val="Heading2"/>
        <w:numPr>
          <w:ilvl w:val="0"/>
          <w:numId w:val="0"/>
        </w:numPr>
        <w:ind w:hanging="0" w:left="0"/>
        <w:rPr/>
      </w:pPr>
      <w:r>
        <w:rPr/>
      </w:r>
      <w:r>
        <w:br w:type="page"/>
      </w:r>
    </w:p>
    <w:p>
      <w:pPr>
        <w:pStyle w:val="BodyText"/>
        <w:numPr>
          <w:ilvl w:val="0"/>
          <w:numId w:val="0"/>
        </w:numPr>
        <w:spacing w:before="0" w:after="140"/>
        <w:ind w:hanging="0"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Fiches d’interventions</w:t>
      </w:r>
    </w:p>
    <w:tbl>
      <w:tblPr>
        <w:tblW w:w="10608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56"/>
        <w:gridCol w:w="5051"/>
      </w:tblGrid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Fiche d’intervention du SAV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PORTAIL</w:t>
            </w:r>
          </w:p>
        </w:tc>
      </w:tr>
      <w:tr>
        <w:trPr/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Technicien responsable :</w:t>
            </w:r>
          </w:p>
          <w:p>
            <w:pPr>
              <w:pStyle w:val="Contenudetableau"/>
              <w:jc w:val="both"/>
              <w:rPr/>
            </w:pPr>
            <w:r>
              <w:rPr/>
              <w:t>Nom : . . . . . . . . . . . . . . . . . . . . . . . . . . . . .</w:t>
            </w:r>
          </w:p>
          <w:p>
            <w:pPr>
              <w:pStyle w:val="Contenudetableau"/>
              <w:spacing w:before="0" w:after="160"/>
              <w:jc w:val="both"/>
              <w:rPr/>
            </w:pPr>
            <w:r>
              <w:rPr/>
              <w:t>Prénom : . . . . . . . . . . . . . . . . . . . . . . . . .</w:t>
            </w:r>
          </w:p>
        </w:tc>
        <w:tc>
          <w:tcPr>
            <w:tcW w:w="5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Début de l’intervention :</w:t>
            </w:r>
          </w:p>
          <w:p>
            <w:pPr>
              <w:pStyle w:val="Contenudetableau"/>
              <w:jc w:val="left"/>
              <w:rPr/>
            </w:pPr>
            <w:r>
              <w:rPr/>
              <w:t>Date : . . . / . . . / . . . Heure : . . . h . . .</w:t>
            </w:r>
          </w:p>
          <w:p>
            <w:pPr>
              <w:pStyle w:val="Contenudetableau"/>
              <w:jc w:val="left"/>
              <w:rPr/>
            </w:pPr>
            <w:r>
              <w:rPr>
                <w:b/>
                <w:bCs/>
              </w:rPr>
              <w:t>Fin de l’intervention :</w:t>
            </w:r>
          </w:p>
          <w:p>
            <w:pPr>
              <w:pStyle w:val="Contenudetableau"/>
              <w:spacing w:before="0" w:after="160"/>
              <w:jc w:val="left"/>
              <w:rPr/>
            </w:pPr>
            <w:r>
              <w:rPr/>
              <w:t>Date : . . . / . . . / . . . Heure : . . . h . . .</w:t>
            </w:r>
          </w:p>
        </w:tc>
      </w:tr>
      <w:tr>
        <w:trPr/>
        <w:tc>
          <w:tcPr>
            <w:tcW w:w="10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jc w:val="both"/>
              <w:rPr/>
            </w:pPr>
            <w:r>
              <w:rPr/>
              <w:t xml:space="preserve">Observations </w:t>
            </w:r>
            <w:r>
              <w:rPr>
                <w:u w:val="single"/>
              </w:rPr>
              <w:t>sans démontage</w:t>
            </w:r>
            <w:r>
              <w:rPr/>
              <w:t> :</w:t>
            </w:r>
          </w:p>
          <w:p>
            <w:pPr>
              <w:pStyle w:val="Contenudetableau"/>
              <w:spacing w:before="0" w:after="160"/>
              <w:jc w:val="both"/>
              <w:rPr/>
            </w:pPr>
            <w:r>
              <w:rPr/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>
          <w:trHeight w:val="894" w:hRule="atLeast"/>
        </w:trPr>
        <w:tc>
          <w:tcPr>
            <w:tcW w:w="10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jc w:val="both"/>
              <w:rPr/>
            </w:pPr>
            <w:r>
              <w:rPr/>
              <w:t>Liste des anomalies possibles (voir tableau des anomalies) :</w:t>
            </w:r>
          </w:p>
          <w:p>
            <w:pPr>
              <w:pStyle w:val="Contenudetableau"/>
              <w:spacing w:before="0" w:after="160"/>
              <w:jc w:val="both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/>
              <w:t xml:space="preserve"> </w:t>
            </w:r>
            <w:r>
              <w:rPr/>
              <w:t xml:space="preserve">1,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/>
              <w:t xml:space="preserve"> 2,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/>
              <w:t xml:space="preserve"> 3,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/>
              <w:t xml:space="preserve"> 4,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  <w:r>
              <w:rPr/>
              <w:t xml:space="preserve"> 5.</w:t>
            </w:r>
          </w:p>
        </w:tc>
      </w:tr>
      <w:tr>
        <w:trPr/>
        <w:tc>
          <w:tcPr>
            <w:tcW w:w="10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jc w:val="both"/>
              <w:rPr/>
            </w:pPr>
            <w:r>
              <w:rPr/>
              <w:t>Localiser les anomalies possibles sur le « diagramme des blocs internes » suivant :</w:t>
            </w:r>
          </w:p>
          <w:p>
            <w:pPr>
              <w:pStyle w:val="Contenudetableau"/>
              <w:spacing w:before="0" w:after="160"/>
              <w:jc w:val="center"/>
              <w:rPr/>
            </w:pPr>
            <w:r>
              <w:rPr/>
              <w:drawing>
                <wp:inline distT="0" distB="0" distL="0" distR="0">
                  <wp:extent cx="4672965" cy="3077845"/>
                  <wp:effectExtent l="0" t="0" r="0" b="0"/>
                  <wp:docPr id="2" name="Image 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965" cy="307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jc w:val="both"/>
              <w:rPr/>
            </w:pPr>
            <w:r>
              <w:rPr/>
              <w:t>Proposer une réparation possible :</w:t>
            </w:r>
          </w:p>
          <w:p>
            <w:pPr>
              <w:pStyle w:val="Contenudetableau"/>
              <w:spacing w:before="0" w:after="160"/>
              <w:jc w:val="both"/>
              <w:rPr/>
            </w:pPr>
            <w:r>
              <w:rPr/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>
        <w:trPr/>
        <w:tc>
          <w:tcPr>
            <w:tcW w:w="10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jc w:val="both"/>
              <w:rPr/>
            </w:pPr>
            <w:r>
              <w:rPr/>
              <w:t>Signature des techniciens</w:t>
            </w:r>
          </w:p>
          <w:p>
            <w:pPr>
              <w:pStyle w:val="Contenudetableau"/>
              <w:spacing w:before="0" w:after="160"/>
              <w:jc w:val="both"/>
              <w:rPr/>
            </w:pPr>
            <w:r>
              <w:rPr/>
            </w:r>
          </w:p>
        </w:tc>
      </w:tr>
    </w:tbl>
    <w:tbl>
      <w:tblPr>
        <w:tblW w:w="10451" w:type="dxa"/>
        <w:jc w:val="left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/>
      </w:tblPr>
      <w:tblGrid>
        <w:gridCol w:w="2436"/>
        <w:gridCol w:w="2613"/>
        <w:gridCol w:w="2679"/>
        <w:gridCol w:w="1477"/>
        <w:gridCol w:w="1245"/>
      </w:tblGrid>
      <w:tr>
        <w:trPr/>
        <w:tc>
          <w:tcPr>
            <w:tcW w:w="7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2F3" w:val="clear"/>
          </w:tcPr>
          <w:p>
            <w:pPr>
              <w:pStyle w:val="Normal"/>
              <w:pageBreakBefore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br w:type="page"/>
            </w:r>
            <w:r>
              <w:rPr>
                <w:rFonts w:eastAsia="Times New Roman" w:cs="Calibri"/>
                <w:i/>
                <w:iCs/>
                <w:color w:val="323E4F"/>
                <w:kern w:val="0"/>
                <w:lang w:eastAsia="fr-FR"/>
                <w14:ligatures w14:val="none"/>
              </w:rPr>
              <w:t>1</w:t>
            </w:r>
            <w:r>
              <w:rPr>
                <w:rFonts w:eastAsia="Times New Roman" w:cs="Calibri"/>
                <w:i/>
                <w:iCs/>
                <w:color w:val="323E4F"/>
                <w:kern w:val="0"/>
                <w:vertAlign w:val="superscript"/>
                <w:lang w:eastAsia="fr-FR"/>
                <w14:ligatures w14:val="none"/>
              </w:rPr>
              <w:t>er</w:t>
            </w:r>
            <w:r>
              <w:rPr>
                <w:rFonts w:eastAsia="Times New Roman" w:cs="Calibri"/>
                <w:i/>
                <w:iCs/>
                <w:color w:val="323E4F"/>
                <w:kern w:val="0"/>
                <w:lang w:eastAsia="fr-FR"/>
                <w14:ligatures w14:val="none"/>
              </w:rPr>
              <w:t xml:space="preserve"> ligne : Auto évaluation / 2ème ligne : enseignant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/>
              <w:drawing>
                <wp:inline distT="0" distB="0" distL="0" distR="0">
                  <wp:extent cx="205740" cy="220980"/>
                  <wp:effectExtent l="0" t="0" r="0" b="0"/>
                  <wp:docPr id="3" name="Image 6 Copi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 Copi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/>
              <w:drawing>
                <wp:inline distT="0" distB="0" distL="0" distR="0">
                  <wp:extent cx="243840" cy="228600"/>
                  <wp:effectExtent l="0" t="0" r="0" b="0"/>
                  <wp:docPr id="4" name="Image 5 Copi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5 Copi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color w:val="323E4F"/>
                <w:kern w:val="0"/>
                <w:sz w:val="20"/>
                <w:szCs w:val="20"/>
                <w:lang w:eastAsia="fr-FR"/>
                <w14:ligatures w14:val="none"/>
              </w:rPr>
              <w:t>Objectif atteint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</w:tr>
      <w:tr>
        <w:trPr/>
        <w:tc>
          <w:tcPr>
            <w:tcW w:w="10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textAlignment w:val="center"/>
              <w:rPr>
                <w:rFonts w:ascii="Calibri" w:hAnsi="Calibri"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1155CC"/>
                <w:kern w:val="0"/>
                <w:sz w:val="24"/>
                <w:szCs w:val="24"/>
                <w:lang w:eastAsia="fr-FR"/>
                <w14:ligatures w14:val="none"/>
              </w:rPr>
              <w:t>SFC 4.2.1 Proposer un protocole permettant de vérifier l’origine d’un dysfonctionnement</w:t>
            </w:r>
          </w:p>
        </w:tc>
      </w:tr>
      <w:tr>
        <w:trPr/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Non acquis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8000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En cours d’acquisition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Acquis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5EB91E" w:val="clear"/>
            <w:vAlign w:val="center"/>
          </w:tcPr>
          <w:p>
            <w:pPr>
              <w:pStyle w:val="Normal"/>
              <w:suppressAutoHyphens w:val="false"/>
              <w:spacing w:lineRule="auto" w:line="276" w:beforeAutospacing="1" w:after="142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Très bonne maîtrise</w:t>
            </w:r>
          </w:p>
        </w:tc>
      </w:tr>
      <w:tr>
        <w:trPr>
          <w:trHeight w:val="1116" w:hRule="atLeast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/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Je </w:t>
            </w:r>
            <w:r>
              <w:rPr>
                <w:rStyle w:val="Strong"/>
                <w:rFonts w:eastAsia="Times New Roman" w:cs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eastAsia="fr-FR"/>
              </w:rPr>
              <w:t>reconnais les composants du système mais ne parvient pas à identifier la panne ni à proposer une démarche de vérification.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Je 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suis une démarche partielle ou guidée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pour identifier la panne, mais 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la réparation proposée est incomplète ou non justifiée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J’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analyse le fonctionnement du portail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, 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identifie correctement la panne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, et 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propose une réparation cohérente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, en s’appuyant sur les composants concernés.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J</w:t>
            </w:r>
            <w:r>
              <w:rPr>
                <w:rFonts w:eastAsia="Times New Roman" w:cs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eastAsia="fr-FR"/>
              </w:rPr>
              <w:t xml:space="preserve">e 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diagnostique la panne de manière autonome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, 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propose une réparation pertinente et justifiée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, et </w:t>
            </w:r>
            <w:r>
              <w:rPr>
                <w:rStyle w:val="Strong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explique clairement la démarche suivie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, en mobilisant ses connaissances techniques.</w:t>
            </w:r>
          </w:p>
        </w:tc>
      </w:tr>
      <w:tr>
        <w:trPr>
          <w:trHeight w:val="547" w:hRule="exact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7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</w:tr>
      <w:tr>
        <w:trPr>
          <w:trHeight w:val="504" w:hRule="exact"/>
        </w:trPr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  <w:tc>
          <w:tcPr>
            <w:tcW w:w="27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uppressAutoHyphens w:val="false"/>
              <w:spacing w:lineRule="auto" w:line="276" w:beforeAutospacing="1" w:after="142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fr-FR"/>
                <w14:ligatures w14:val="none"/>
              </w:rPr>
            </w:r>
          </w:p>
        </w:tc>
      </w:tr>
    </w:tbl>
    <w:p>
      <w:pPr>
        <w:pStyle w:val="Normal"/>
        <w:spacing w:before="0" w:after="158"/>
        <w:ind w:hanging="0" w:left="0" w:right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58"/>
        <w:ind w:hanging="0" w:left="0" w:right="0"/>
        <w:jc w:val="left"/>
        <w:rPr>
          <w:color w:val="000000"/>
        </w:rPr>
      </w:pPr>
      <w:r>
        <w:rPr>
          <w:color w:val="000000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576" w:right="842" w:gutter="0" w:header="4" w:top="226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Impact">
    <w:charset w:val="00"/>
    <w:family w:val="swiss"/>
    <w:pitch w:val="variable"/>
  </w:font>
  <w:font w:name="Wingding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Grilledutableau"/>
      <w:tblW w:w="10632" w:type="dxa"/>
      <w:jc w:val="left"/>
      <w:tblInd w:w="6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51"/>
      <w:gridCol w:w="7321"/>
      <w:gridCol w:w="1560"/>
    </w:tblGrid>
    <w:tr>
      <w:trPr>
        <w:trHeight w:val="1550" w:hRule="atLeast"/>
      </w:trPr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b/>
              <w:color w:themeColor="text1" w:val="000000"/>
              <w:sz w:val="32"/>
            </w:rPr>
          </w:pPr>
          <w:r>
            <w:rPr>
              <w:b/>
              <w:color w:themeColor="text1" w:val="000000"/>
              <w:sz w:val="32"/>
            </w:rPr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956945" cy="952500"/>
                <wp:effectExtent l="0" t="0" r="0" b="0"/>
                <wp:wrapNone/>
                <wp:docPr id="5" name="Image 1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1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4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48"/>
              <w:szCs w:val="28"/>
              <w:lang w:val="fr-FR" w:eastAsia="en-US" w:bidi="ar-SA"/>
            </w:rPr>
            <w:t>TECHNOLOGIE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>Séquence 5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i/>
              <w:i/>
              <w:i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i/>
              <w:iCs/>
              <w:color w:themeColor="text1" w:val="000000"/>
              <w:kern w:val="2"/>
              <w:sz w:val="28"/>
              <w:szCs w:val="28"/>
              <w:lang w:val="fr-FR" w:eastAsia="en-US" w:bidi="ar-SA"/>
            </w:rPr>
            <w:t>Comment diagnostiquer une panne sur un portail automatique et la réparer 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color w:val="000099"/>
            </w:rPr>
          </w:pPr>
          <w:r>
            <w:rPr/>
            <w:drawing>
              <wp:inline distT="0" distB="0" distL="0" distR="0">
                <wp:extent cx="861060" cy="861060"/>
                <wp:effectExtent l="0" t="0" r="0" b="0"/>
                <wp:docPr id="6" name="Image3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CYCLE 4</w:t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2"/>
              <w:sz w:val="26"/>
              <w:szCs w:val="26"/>
              <w:lang w:val="fr-FR" w:eastAsia="en-US" w:bidi="ar-SA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>Séance 2 :  Comment diagnostiquer une panne 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NIVEAU 4e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Style w:val="Grilledutableau"/>
      <w:tblW w:w="10632" w:type="dxa"/>
      <w:jc w:val="left"/>
      <w:tblInd w:w="6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51"/>
      <w:gridCol w:w="7321"/>
      <w:gridCol w:w="1560"/>
    </w:tblGrid>
    <w:tr>
      <w:trPr>
        <w:trHeight w:val="1550" w:hRule="atLeast"/>
      </w:trPr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b/>
              <w:color w:themeColor="text1" w:val="000000"/>
              <w:sz w:val="32"/>
            </w:rPr>
          </w:pPr>
          <w:r>
            <w:rPr>
              <w:b/>
              <w:color w:themeColor="text1" w:val="000000"/>
              <w:sz w:val="32"/>
            </w:rPr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956945" cy="952500"/>
                <wp:effectExtent l="0" t="0" r="0" b="0"/>
                <wp:wrapNone/>
                <wp:docPr id="7" name="Image 1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1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4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48"/>
              <w:szCs w:val="28"/>
              <w:lang w:val="fr-FR" w:eastAsia="en-US" w:bidi="ar-SA"/>
            </w:rPr>
            <w:t>TECHNOLOGIE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8"/>
              <w:szCs w:val="28"/>
              <w:lang w:val="fr-FR" w:eastAsia="en-US" w:bidi="ar-SA"/>
            </w:rPr>
            <w:t>Séquence 5</w:t>
          </w:r>
        </w:p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i/>
              <w:i/>
              <w:iCs/>
              <w:color w:themeColor="text1" w:val="000000"/>
              <w:sz w:val="28"/>
              <w:szCs w:val="28"/>
            </w:rPr>
          </w:pPr>
          <w:r>
            <w:rPr>
              <w:rFonts w:eastAsia="Calibri" w:cs=""/>
              <w:b/>
              <w:bCs/>
              <w:i/>
              <w:iCs/>
              <w:color w:themeColor="text1" w:val="000000"/>
              <w:kern w:val="2"/>
              <w:sz w:val="28"/>
              <w:szCs w:val="28"/>
              <w:lang w:val="fr-FR" w:eastAsia="en-US" w:bidi="ar-SA"/>
            </w:rPr>
            <w:t>Comment diagnostiquer une panne sur un portail automatique et la réparer 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color w:val="000099"/>
            </w:rPr>
          </w:pPr>
          <w:r>
            <w:rPr/>
            <w:drawing>
              <wp:inline distT="0" distB="0" distL="0" distR="0">
                <wp:extent cx="861060" cy="861060"/>
                <wp:effectExtent l="0" t="0" r="0" b="0"/>
                <wp:docPr id="8" name="Image3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75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CYCLE 4</w:t>
          </w:r>
        </w:p>
      </w:tc>
      <w:tc>
        <w:tcPr>
          <w:tcW w:w="7321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2"/>
              <w:sz w:val="26"/>
              <w:szCs w:val="26"/>
              <w:lang w:val="fr-FR" w:eastAsia="en-US" w:bidi="ar-SA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6"/>
              <w:szCs w:val="26"/>
              <w:lang w:val="fr-FR" w:eastAsia="en-US" w:bidi="ar-SA"/>
            </w:rPr>
            <w:t>Séance 2 :  Comment diagnostiquer une panne ?</w:t>
          </w:r>
        </w:p>
      </w:tc>
      <w:tc>
        <w:tcPr>
          <w:tcW w:w="1560" w:type="dxa"/>
          <w:tcBorders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b/>
              <w:bCs/>
              <w:color w:themeColor="text1" w:val="000099"/>
            </w:rPr>
          </w:pPr>
          <w:r>
            <w:rPr>
              <w:rFonts w:eastAsia="Calibri" w:cs=""/>
              <w:b/>
              <w:bCs/>
              <w:color w:themeColor="text1" w:val="000000"/>
              <w:kern w:val="2"/>
              <w:sz w:val="22"/>
              <w:szCs w:val="22"/>
              <w:lang w:val="fr-FR" w:eastAsia="en-US" w:bidi="ar-SA"/>
            </w:rPr>
            <w:t>NIVEAU 4e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suff w:val="nothing"/>
      <w:lvlText w:val="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2">
    <w:name w:val="heading 2"/>
    <w:basedOn w:val="Normal"/>
    <w:next w:val="BodyText"/>
    <w:qFormat/>
    <w:pPr>
      <w:numPr>
        <w:ilvl w:val="1"/>
        <w:numId w:val="3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BodyText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94458d"/>
    <w:rPr/>
  </w:style>
  <w:style w:type="character" w:styleId="PieddepageCar" w:customStyle="1">
    <w:name w:val="Pied de page Car"/>
    <w:basedOn w:val="DefaultParagraphFont"/>
    <w:uiPriority w:val="99"/>
    <w:qFormat/>
    <w:rsid w:val="0094458d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Pucesuser">
    <w:name w:val="Puces (user)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">
    <w:name w:val="En-tête et pied de page"/>
    <w:basedOn w:val="Normal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9445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9445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Contenudecadre">
    <w:name w:val="Contenu de cadre"/>
    <w:basedOn w:val="Normal"/>
    <w:qFormat/>
    <w:pPr/>
    <w:rPr/>
  </w:style>
  <w:style w:type="paragraph" w:styleId="Contenudecadreuser">
    <w:name w:val="Contenu de cadre (user)"/>
    <w:basedOn w:val="Normal"/>
    <w:qFormat/>
    <w:pPr/>
    <w:rPr/>
  </w:style>
  <w:style w:type="paragraph" w:styleId="Texteprformatuser">
    <w:name w:val="Texte préformaté (user)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  <w:style w:type="paragraph" w:styleId="Titredetableauuser">
    <w:name w:val="Titre de tableau (user)"/>
    <w:basedOn w:val="Contenudetableauuser"/>
    <w:qFormat/>
    <w:pPr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extbody">
    <w:name w:val="Text body"/>
    <w:basedOn w:val="Standard"/>
    <w:qFormat/>
    <w:pPr>
      <w:spacing w:lineRule="auto" w:line="276" w:before="0" w:after="140"/>
      <w:jc w:val="both"/>
    </w:pPr>
    <w:rPr/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445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Application>LibreOffice/25.2.4.3$Windows_X86_64 LibreOffice_project/33e196637044ead23f5c3226cde09b47731f7e27</Application>
  <AppVersion>15.0000</AppVersion>
  <Pages>3</Pages>
  <Words>517</Words>
  <Characters>2982</Characters>
  <CharactersWithSpaces>3647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2024-11-13T16:59:00Z</dcterms:created>
  <dc:creator>Jean-Baptiste DESACHY</dc:creator>
  <dc:description/>
  <dc:language>fr-FR</dc:language>
  <cp:lastModifiedBy/>
  <cp:lastPrinted>2025-07-16T16:53:56Z</cp:lastPrinted>
  <dcterms:modified xsi:type="dcterms:W3CDTF">2025-07-17T09:31:34Z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